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58" w:rsidRPr="00C26307" w:rsidRDefault="009A1358" w:rsidP="009A1358">
      <w:pPr>
        <w:autoSpaceDE w:val="0"/>
        <w:autoSpaceDN w:val="0"/>
        <w:adjustRightInd w:val="0"/>
        <w:rPr>
          <w:b/>
          <w:bCs/>
        </w:rPr>
      </w:pPr>
      <w:r w:rsidRPr="00C26307">
        <w:rPr>
          <w:b/>
          <w:bCs/>
        </w:rPr>
        <w:t>MINISTERO DELLE POLITICHE AGRICOLE</w:t>
      </w:r>
    </w:p>
    <w:p w:rsidR="009A1358" w:rsidRPr="00C26307" w:rsidRDefault="009A1358" w:rsidP="009A1358">
      <w:pPr>
        <w:autoSpaceDE w:val="0"/>
        <w:autoSpaceDN w:val="0"/>
        <w:adjustRightInd w:val="0"/>
        <w:rPr>
          <w:b/>
          <w:bCs/>
        </w:rPr>
      </w:pPr>
      <w:r w:rsidRPr="00C26307">
        <w:rPr>
          <w:b/>
          <w:bCs/>
        </w:rPr>
        <w:t>ALIMENTARI E FORESTALI</w:t>
      </w:r>
    </w:p>
    <w:p w:rsidR="009A1358" w:rsidRPr="00C26307" w:rsidRDefault="009A1358" w:rsidP="009A1358">
      <w:pPr>
        <w:autoSpaceDE w:val="0"/>
        <w:autoSpaceDN w:val="0"/>
        <w:adjustRightInd w:val="0"/>
      </w:pPr>
      <w:r w:rsidRPr="00C26307">
        <w:t>DECRETO 23 febbraio 2018 .</w:t>
      </w:r>
    </w:p>
    <w:p w:rsidR="009A1358" w:rsidRPr="00C26307" w:rsidRDefault="009A1358" w:rsidP="009A1358">
      <w:pPr>
        <w:autoSpaceDE w:val="0"/>
        <w:autoSpaceDN w:val="0"/>
        <w:adjustRightInd w:val="0"/>
        <w:rPr>
          <w:b/>
          <w:bCs/>
        </w:rPr>
      </w:pPr>
      <w:r w:rsidRPr="00C26307">
        <w:rPr>
          <w:b/>
          <w:bCs/>
        </w:rPr>
        <w:t>Misure tecniche per la pesca del pesce spada nel</w:t>
      </w:r>
      <w:r w:rsidR="00C26307" w:rsidRPr="00C26307">
        <w:rPr>
          <w:b/>
          <w:bCs/>
        </w:rPr>
        <w:t xml:space="preserve"> </w:t>
      </w:r>
      <w:r w:rsidRPr="00C26307">
        <w:rPr>
          <w:b/>
          <w:bCs/>
        </w:rPr>
        <w:t>Mediterraneo.</w:t>
      </w:r>
    </w:p>
    <w:p w:rsidR="009A1358" w:rsidRPr="00C26307" w:rsidRDefault="009A1358" w:rsidP="009A1358">
      <w:pPr>
        <w:autoSpaceDE w:val="0"/>
        <w:autoSpaceDN w:val="0"/>
        <w:adjustRightInd w:val="0"/>
      </w:pPr>
      <w:r w:rsidRPr="00C26307">
        <w:t xml:space="preserve">IL SOTTOSEGRETARIO </w:t>
      </w:r>
      <w:proofErr w:type="spellStart"/>
      <w:r w:rsidRPr="00C26307">
        <w:t>DI</w:t>
      </w:r>
      <w:proofErr w:type="spellEnd"/>
      <w:r w:rsidRPr="00C26307">
        <w:t xml:space="preserve"> STATOALLE POLITICHE AGRICOLE</w:t>
      </w:r>
      <w:r w:rsidR="00C26307" w:rsidRPr="00C26307">
        <w:t xml:space="preserve"> </w:t>
      </w:r>
      <w:r w:rsidRPr="00C26307">
        <w:t>ALIMENTARI E FORESTALI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Visto</w:t>
      </w:r>
      <w:r w:rsidRPr="00C26307">
        <w:t xml:space="preserve"> il decreto legislativo 26 maggio 2004, n. 154, recante</w:t>
      </w:r>
      <w:r w:rsidR="00C26307" w:rsidRPr="00C26307">
        <w:t xml:space="preserve"> </w:t>
      </w:r>
      <w:r w:rsidRPr="00C26307">
        <w:t>la modernizzazione del settore pesca e dell’acquacoltura,</w:t>
      </w:r>
      <w:r w:rsidR="00C26307" w:rsidRPr="00C26307">
        <w:t xml:space="preserve"> </w:t>
      </w:r>
      <w:r w:rsidRPr="00C26307">
        <w:t>a norma dell’art. 1, comma 2, della legge 7 marzo</w:t>
      </w:r>
      <w:r w:rsidR="00C26307" w:rsidRPr="00C26307">
        <w:t xml:space="preserve"> </w:t>
      </w:r>
      <w:r w:rsidRPr="00C26307">
        <w:t>2003, n. 38;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Visto</w:t>
      </w:r>
      <w:r w:rsidRPr="00C26307">
        <w:t xml:space="preserve"> il decreto legislativo 9 gennaio 2012, n. 4, recante</w:t>
      </w:r>
      <w:r w:rsidR="00C26307" w:rsidRPr="00C26307">
        <w:t xml:space="preserve"> </w:t>
      </w:r>
      <w:r w:rsidRPr="00C26307">
        <w:t>misure per il riassetto della normativa in materia</w:t>
      </w:r>
      <w:r w:rsidR="001737B9">
        <w:t xml:space="preserve"> </w:t>
      </w:r>
      <w:r w:rsidRPr="00C26307">
        <w:t>di pesca e acquacoltura, a norma dell’art. 28 della legge</w:t>
      </w:r>
      <w:r w:rsidR="00C26307" w:rsidRPr="00C26307">
        <w:t xml:space="preserve"> </w:t>
      </w:r>
      <w:r w:rsidRPr="00C26307">
        <w:t>4 giugno 2010, n. 96;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Vista l</w:t>
      </w:r>
      <w:r w:rsidRPr="00C26307">
        <w:t>a legge 28 luglio 2016, n. 154, recante deleghe</w:t>
      </w:r>
      <w:r w:rsidR="00C26307" w:rsidRPr="00C26307">
        <w:t xml:space="preserve"> </w:t>
      </w:r>
      <w:r w:rsidRPr="00C26307">
        <w:t>al Governo e ulteriori disposizioni in materia di semplificazione,</w:t>
      </w:r>
      <w:r w:rsidR="00C26307" w:rsidRPr="00C26307">
        <w:t xml:space="preserve"> </w:t>
      </w:r>
      <w:r w:rsidRPr="00C26307">
        <w:t>razionalizzazione e competitività dei settori</w:t>
      </w:r>
      <w:r w:rsidR="00C26307" w:rsidRPr="00C26307">
        <w:t xml:space="preserve"> </w:t>
      </w:r>
      <w:r w:rsidRPr="00C26307">
        <w:t>agricolo e agroalimentare, nonché sanzioni in materia di</w:t>
      </w:r>
      <w:r w:rsidR="00C26307" w:rsidRPr="00C26307">
        <w:t xml:space="preserve"> </w:t>
      </w:r>
      <w:r w:rsidRPr="00C26307">
        <w:t>pesca illegale;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 xml:space="preserve">Visto </w:t>
      </w:r>
      <w:r w:rsidRPr="00C26307">
        <w:t>il regolamento (CE) del Consiglio del 21 dicembre</w:t>
      </w:r>
      <w:r w:rsidR="00C26307" w:rsidRPr="00C26307">
        <w:t xml:space="preserve"> </w:t>
      </w:r>
      <w:r w:rsidRPr="00C26307">
        <w:t>2006, n. 1967, relativo alle misure di gestione per</w:t>
      </w:r>
      <w:r w:rsidR="001737B9">
        <w:t xml:space="preserve"> </w:t>
      </w:r>
      <w:r w:rsidRPr="00C26307">
        <w:t>lo sfruttamento sostenibile delle risorse della pesca nel</w:t>
      </w:r>
      <w:r w:rsidR="00C26307" w:rsidRPr="00C26307">
        <w:t xml:space="preserve"> </w:t>
      </w:r>
      <w:r w:rsidRPr="00C26307">
        <w:t>Mar Mediterraneo e recante modifica del regolamento</w:t>
      </w:r>
      <w:r w:rsidR="001737B9">
        <w:t xml:space="preserve"> </w:t>
      </w:r>
      <w:r w:rsidRPr="00C26307">
        <w:t>(CEE) n. 2847/1993 e che abroga il regolamento (CE)</w:t>
      </w:r>
      <w:r w:rsidR="00C26307" w:rsidRPr="00C26307">
        <w:t xml:space="preserve"> </w:t>
      </w:r>
      <w:r w:rsidRPr="00C26307">
        <w:t>n. 1626/1994;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Visto</w:t>
      </w:r>
      <w:r w:rsidRPr="00C26307">
        <w:t xml:space="preserve"> il regolamento (CE) del Consiglio del 20 novembre</w:t>
      </w:r>
      <w:r w:rsidR="00C26307" w:rsidRPr="00C26307">
        <w:t xml:space="preserve"> </w:t>
      </w:r>
      <w:r w:rsidRPr="00C26307">
        <w:t>2009, n. 1224, che istituisce un regime di controllo comunitario</w:t>
      </w:r>
      <w:r w:rsidR="00C26307" w:rsidRPr="00C26307">
        <w:t xml:space="preserve"> </w:t>
      </w:r>
      <w:r w:rsidRPr="00C26307">
        <w:t>per garantire il rispetto delle norme della politica</w:t>
      </w:r>
      <w:r w:rsidR="00C26307" w:rsidRPr="00C26307">
        <w:t xml:space="preserve"> </w:t>
      </w:r>
      <w:r w:rsidRPr="00C26307">
        <w:t>comune della pesca, che modifica i regolamenti (CE)</w:t>
      </w:r>
      <w:r w:rsidR="00C26307" w:rsidRPr="00C26307">
        <w:t xml:space="preserve"> </w:t>
      </w:r>
      <w:r w:rsidRPr="00C26307">
        <w:t>n. 847/96, (CE) n. 2371/2002, (CE) n. 811/2004, (CE)</w:t>
      </w:r>
      <w:r w:rsidR="00C26307" w:rsidRPr="00C26307">
        <w:t xml:space="preserve"> </w:t>
      </w:r>
      <w:r w:rsidRPr="00C26307">
        <w:t>n. 768/2005, (CE) n. 2115/2005, (CE) n. 2166/2005, (CE)</w:t>
      </w:r>
      <w:r w:rsidR="00C26307" w:rsidRPr="00C26307">
        <w:t xml:space="preserve"> </w:t>
      </w:r>
      <w:r w:rsidRPr="00C26307">
        <w:t>n. 388/2006, (CE) n. 509/2007, (CE) n. 676/2007, (CE)</w:t>
      </w:r>
      <w:r w:rsidR="00C26307" w:rsidRPr="00C26307">
        <w:t xml:space="preserve"> </w:t>
      </w:r>
      <w:r w:rsidRPr="00C26307">
        <w:t>n. 1098/2007, (CE) n. 1300/2008, (CE) n. 1342/2008 e che</w:t>
      </w:r>
      <w:r w:rsidR="00C26307" w:rsidRPr="00C26307">
        <w:t xml:space="preserve"> </w:t>
      </w:r>
      <w:r w:rsidRPr="00C26307">
        <w:t>abroga i regolamenti (CEE) n. 2847/93, (CE) n. 1627/94 e</w:t>
      </w:r>
      <w:r w:rsidR="00C26307" w:rsidRPr="00C26307">
        <w:t xml:space="preserve"> </w:t>
      </w:r>
      <w:r w:rsidRPr="00C26307">
        <w:t>(CE) n. 1966/2006, ed in particolare l’art. 102;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Visto</w:t>
      </w:r>
      <w:r w:rsidRPr="00C26307">
        <w:t xml:space="preserve"> il regolamento di esecuzione (UE) della Commissione</w:t>
      </w:r>
      <w:r w:rsidR="00C26307" w:rsidRPr="00C26307">
        <w:t xml:space="preserve"> </w:t>
      </w:r>
      <w:r w:rsidRPr="00C26307">
        <w:t>dell’8 aprile 2011, n. 404, recante le modalità di applicazione</w:t>
      </w:r>
      <w:r w:rsidR="00C26307" w:rsidRPr="00C26307">
        <w:t xml:space="preserve"> </w:t>
      </w:r>
      <w:r w:rsidRPr="00C26307">
        <w:t>del richiamato regolamento (CE) n. 1224/2009</w:t>
      </w:r>
      <w:r w:rsidR="00C26307" w:rsidRPr="00C26307">
        <w:t xml:space="preserve"> </w:t>
      </w:r>
      <w:r w:rsidRPr="00C26307">
        <w:t>del Consiglio che istituisce un regime di controllo comunitario</w:t>
      </w:r>
      <w:r w:rsidR="00C26307" w:rsidRPr="00C26307">
        <w:t xml:space="preserve"> </w:t>
      </w:r>
      <w:r w:rsidRPr="00C26307">
        <w:t>per garantire il rispetto delle norme della politica</w:t>
      </w:r>
      <w:r w:rsidR="00C26307" w:rsidRPr="00C26307">
        <w:t xml:space="preserve"> </w:t>
      </w:r>
      <w:r w:rsidRPr="00C26307">
        <w:t>comune della pesca;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Visto</w:t>
      </w:r>
      <w:r w:rsidRPr="00C26307">
        <w:t xml:space="preserve"> il regolamento (UE) del Parlamento europeo</w:t>
      </w:r>
      <w:r w:rsidR="00C26307" w:rsidRPr="00C26307">
        <w:t xml:space="preserve"> </w:t>
      </w:r>
      <w:r w:rsidRPr="00C26307">
        <w:t>e del Consiglio dell’11 dicembre 2013, n. 1380, relativo</w:t>
      </w:r>
      <w:r w:rsidR="001737B9">
        <w:t xml:space="preserve"> </w:t>
      </w:r>
      <w:r w:rsidRPr="00C26307">
        <w:t>alla politica comune della pesca, che modifica i regolamenti</w:t>
      </w:r>
      <w:r w:rsidR="00C26307" w:rsidRPr="00C26307">
        <w:t xml:space="preserve"> </w:t>
      </w:r>
      <w:r w:rsidRPr="00C26307">
        <w:t>(CE) n. 1954/2003 e (CE) n. 1224/2009 del</w:t>
      </w:r>
      <w:r w:rsidR="001737B9">
        <w:t xml:space="preserve"> </w:t>
      </w:r>
      <w:r w:rsidRPr="00C26307">
        <w:t>Consiglio e che abroga i regolamenti (CE) n. 2371/2002</w:t>
      </w:r>
      <w:r w:rsidR="00C26307" w:rsidRPr="00C26307">
        <w:t xml:space="preserve"> </w:t>
      </w:r>
      <w:r w:rsidRPr="00C26307">
        <w:t>e (CE) n. 639/2004 del Consiglio, nonché la decisione</w:t>
      </w:r>
      <w:r w:rsidR="001737B9">
        <w:t xml:space="preserve"> </w:t>
      </w:r>
      <w:r w:rsidRPr="00C26307">
        <w:t>n. 2004/585/CE del Consiglio;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 xml:space="preserve">Vista </w:t>
      </w:r>
      <w:r w:rsidRPr="00C26307">
        <w:t>la raccomandazione ICCAT n. 16-05 (di seguito,</w:t>
      </w:r>
      <w:r w:rsidR="00C26307" w:rsidRPr="00C26307">
        <w:t xml:space="preserve"> </w:t>
      </w:r>
      <w:r w:rsidRPr="00C26307">
        <w:t>raccomandazione), recante l’istituzione di un</w:t>
      </w:r>
      <w:r w:rsidR="001737B9">
        <w:t xml:space="preserve"> </w:t>
      </w:r>
      <w:r w:rsidRPr="00C26307">
        <w:t>Piano pluriennale di ricostituzione per il pesce spada</w:t>
      </w:r>
      <w:r w:rsidR="00C26307" w:rsidRPr="00C26307">
        <w:t xml:space="preserve"> </w:t>
      </w:r>
      <w:r w:rsidRPr="00C26307">
        <w:t>nel Mediterraneo;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Visto</w:t>
      </w:r>
      <w:r w:rsidRPr="00C26307">
        <w:t xml:space="preserve"> il decreto ministeriale 13 aprile 2015, pubblicato</w:t>
      </w:r>
      <w:r w:rsidR="00C26307" w:rsidRPr="00C26307">
        <w:t xml:space="preserve"> </w:t>
      </w:r>
      <w:r w:rsidRPr="00C26307">
        <w:t xml:space="preserve">nella </w:t>
      </w:r>
      <w:r w:rsidRPr="00C26307">
        <w:rPr>
          <w:i/>
          <w:iCs/>
        </w:rPr>
        <w:t xml:space="preserve">Gazzetta Ufficiale </w:t>
      </w:r>
      <w:r w:rsidRPr="00C26307">
        <w:t>della Repubblica italiana n. 124</w:t>
      </w:r>
      <w:r w:rsidR="001737B9">
        <w:t xml:space="preserve"> </w:t>
      </w:r>
      <w:r w:rsidRPr="00C26307">
        <w:t>del 30 maggio 2015, recante liberalizzazione degli apparati</w:t>
      </w:r>
      <w:r w:rsidR="00C26307" w:rsidRPr="00C26307">
        <w:t xml:space="preserve"> </w:t>
      </w:r>
      <w:r w:rsidRPr="00C26307">
        <w:t>di controllo sulla flotta peschereccia nazionale;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Visto</w:t>
      </w:r>
      <w:r w:rsidRPr="00C26307">
        <w:t xml:space="preserve"> il decreto ministeriale 3 giugno 2015 (di seguito,</w:t>
      </w:r>
      <w:r w:rsidR="00C26307" w:rsidRPr="00C26307">
        <w:t xml:space="preserve"> </w:t>
      </w:r>
      <w:r w:rsidRPr="00C26307">
        <w:t xml:space="preserve">decreto), pubblicato nella </w:t>
      </w:r>
      <w:r w:rsidRPr="00C26307">
        <w:rPr>
          <w:i/>
          <w:iCs/>
        </w:rPr>
        <w:t xml:space="preserve">Gazzetta Ufficiale </w:t>
      </w:r>
      <w:r w:rsidRPr="00C26307">
        <w:t>della Repubblica</w:t>
      </w:r>
      <w:r w:rsidR="00C26307" w:rsidRPr="00C26307">
        <w:t xml:space="preserve"> </w:t>
      </w:r>
      <w:r w:rsidRPr="00C26307">
        <w:t>italiana n. 162 del 15 luglio 2015, recante attuazione</w:t>
      </w:r>
      <w:r w:rsidR="00C26307" w:rsidRPr="00C26307">
        <w:t xml:space="preserve"> </w:t>
      </w:r>
      <w:r w:rsidRPr="00C26307">
        <w:t>delle misure 14, 15 e 16 del «Piano di azione», in materia</w:t>
      </w:r>
      <w:r w:rsidR="00C26307" w:rsidRPr="00C26307">
        <w:t xml:space="preserve"> </w:t>
      </w:r>
      <w:r w:rsidRPr="00C26307">
        <w:t>di gestione della pesca del pesce spada nel Mediterraneo;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 xml:space="preserve">Visto </w:t>
      </w:r>
      <w:r w:rsidRPr="00C26307">
        <w:t>il decreto direttoriale n. 3992 del 29 febbraio</w:t>
      </w:r>
      <w:r w:rsidR="00C26307" w:rsidRPr="00C26307">
        <w:t xml:space="preserve"> </w:t>
      </w:r>
      <w:r w:rsidRPr="00C26307">
        <w:t>2016, pubblicato sul sito web istituzionale del Ministero,</w:t>
      </w:r>
      <w:r w:rsidR="001737B9">
        <w:t xml:space="preserve"> </w:t>
      </w:r>
      <w:r w:rsidRPr="00C26307">
        <w:t>recante l’istituzione (ai sensi e per gli effetti</w:t>
      </w:r>
      <w:r w:rsidR="00C26307" w:rsidRPr="00C26307">
        <w:t xml:space="preserve"> </w:t>
      </w:r>
      <w:r w:rsidRPr="00C26307">
        <w:t>dell’art. 3, comma 1, del decreto) dell’elenco nazionale</w:t>
      </w:r>
      <w:r w:rsidR="00C26307" w:rsidRPr="00C26307">
        <w:t xml:space="preserve"> </w:t>
      </w:r>
      <w:r w:rsidRPr="00C26307">
        <w:t>delle imbarcazioni autorizzate alla pesca del pesce spada</w:t>
      </w:r>
      <w:r w:rsidR="00C26307" w:rsidRPr="00C26307">
        <w:t xml:space="preserve"> </w:t>
      </w:r>
      <w:r w:rsidRPr="00C26307">
        <w:t>nel Mediterraneo;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 xml:space="preserve">Visto </w:t>
      </w:r>
      <w:r w:rsidRPr="00C26307">
        <w:t>il decreto ministeriale 28 luglio 2016, pubblicato</w:t>
      </w:r>
      <w:r w:rsidR="00C26307" w:rsidRPr="00C26307">
        <w:t xml:space="preserve"> </w:t>
      </w:r>
      <w:r w:rsidRPr="00C26307">
        <w:t xml:space="preserve">nella </w:t>
      </w:r>
      <w:r w:rsidRPr="00C26307">
        <w:rPr>
          <w:i/>
          <w:iCs/>
        </w:rPr>
        <w:t xml:space="preserve">Gazzetta Ufficiale </w:t>
      </w:r>
      <w:r w:rsidRPr="00C26307">
        <w:t>della Repubblica italiana n. 209del 7 settembre 2016, recante misure tecniche per prevenire,</w:t>
      </w:r>
      <w:r w:rsidR="00C26307" w:rsidRPr="00C26307">
        <w:t xml:space="preserve"> </w:t>
      </w:r>
      <w:r w:rsidRPr="00C26307">
        <w:t>scoraggiare ed eliminare la pesca illegale, non dichiarata</w:t>
      </w:r>
      <w:r w:rsidR="00C26307" w:rsidRPr="00C26307">
        <w:t xml:space="preserve"> </w:t>
      </w:r>
      <w:r w:rsidRPr="00C26307">
        <w:t>e non regolamentata;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Viste</w:t>
      </w:r>
      <w:r w:rsidRPr="00C26307">
        <w:t xml:space="preserve"> le circolari n. 8664 del 26 marzo 2012 e n. 423</w:t>
      </w:r>
      <w:r w:rsidR="00C26307" w:rsidRPr="00C26307">
        <w:t xml:space="preserve"> </w:t>
      </w:r>
      <w:r w:rsidRPr="00C26307">
        <w:t>del 28 febbraio 2013, recanti la disciplina delle attività di</w:t>
      </w:r>
      <w:r w:rsidR="001737B9">
        <w:t xml:space="preserve"> </w:t>
      </w:r>
      <w:r w:rsidRPr="00C26307">
        <w:t>pesca sportiva/ricreativa del pesce spada;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Vista</w:t>
      </w:r>
      <w:r w:rsidRPr="00C26307">
        <w:t xml:space="preserve"> la circolare n. 12584 del 22 luglio 2016, recante</w:t>
      </w:r>
      <w:r w:rsidR="00C26307" w:rsidRPr="00C26307">
        <w:t xml:space="preserve"> </w:t>
      </w:r>
      <w:r w:rsidRPr="00C26307">
        <w:t>le modalità attuative del richiamato decreto ministeriale</w:t>
      </w:r>
      <w:r w:rsidR="001737B9">
        <w:t xml:space="preserve"> </w:t>
      </w:r>
      <w:r w:rsidRPr="00C26307">
        <w:t>13 aprile 2015;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 xml:space="preserve">Visto </w:t>
      </w:r>
      <w:r w:rsidRPr="00C26307">
        <w:t>il decreto del Presidente del Consiglio dei ministri</w:t>
      </w:r>
      <w:r w:rsidR="00C26307" w:rsidRPr="00C26307">
        <w:t xml:space="preserve"> </w:t>
      </w:r>
      <w:r w:rsidRPr="00C26307">
        <w:t>del 27 febbraio 2013, n. 105, recante «regolamento</w:t>
      </w:r>
      <w:r w:rsidR="001737B9">
        <w:t xml:space="preserve"> </w:t>
      </w:r>
      <w:r w:rsidRPr="00C26307">
        <w:t>organizzazione del Ministero delle politiche agricole alimentari</w:t>
      </w:r>
      <w:r w:rsidR="00C26307" w:rsidRPr="00C26307">
        <w:t xml:space="preserve"> </w:t>
      </w:r>
      <w:r w:rsidRPr="00C26307">
        <w:t xml:space="preserve">e forestali, a norma </w:t>
      </w:r>
      <w:r w:rsidRPr="00C26307">
        <w:lastRenderedPageBreak/>
        <w:t xml:space="preserve">dell’art. 2, comma 10 </w:t>
      </w:r>
      <w:proofErr w:type="spellStart"/>
      <w:r w:rsidRPr="00C26307">
        <w:rPr>
          <w:i/>
          <w:iCs/>
        </w:rPr>
        <w:t>-ter</w:t>
      </w:r>
      <w:proofErr w:type="spellEnd"/>
      <w:r w:rsidRPr="00C26307">
        <w:rPr>
          <w:i/>
          <w:iCs/>
        </w:rPr>
        <w:t xml:space="preserve"> </w:t>
      </w:r>
      <w:r w:rsidRPr="00C26307">
        <w:t>, del</w:t>
      </w:r>
      <w:r w:rsidR="001737B9">
        <w:t xml:space="preserve"> </w:t>
      </w:r>
      <w:r w:rsidRPr="00C26307">
        <w:t>decreto-legge 6 luglio 2012, n. 95, convertito, con modificazioni,</w:t>
      </w:r>
      <w:r w:rsidR="00C26307" w:rsidRPr="00C26307">
        <w:t xml:space="preserve"> </w:t>
      </w:r>
      <w:r w:rsidRPr="00C26307">
        <w:t>dalla legge 7 agosto 2012, n. 135»;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 xml:space="preserve">Visto </w:t>
      </w:r>
      <w:r w:rsidRPr="00C26307">
        <w:t>il decreto ministeriale 17 gennaio 2017, pubblicato</w:t>
      </w:r>
      <w:r w:rsidR="00C26307" w:rsidRPr="00C26307">
        <w:t xml:space="preserve"> </w:t>
      </w:r>
      <w:r w:rsidRPr="00C26307">
        <w:t xml:space="preserve">nella </w:t>
      </w:r>
      <w:r w:rsidRPr="00C26307">
        <w:rPr>
          <w:i/>
          <w:iCs/>
        </w:rPr>
        <w:t xml:space="preserve">Gazzetta Ufficiale </w:t>
      </w:r>
      <w:r w:rsidRPr="00C26307">
        <w:t>della Repubblica italiana n. 41</w:t>
      </w:r>
      <w:r w:rsidR="001737B9">
        <w:t xml:space="preserve"> </w:t>
      </w:r>
      <w:r w:rsidRPr="00C26307">
        <w:t>del 18 febbraio 2017, recante la delega di attribuzioni,</w:t>
      </w:r>
      <w:r w:rsidR="00C26307" w:rsidRPr="00C26307">
        <w:t xml:space="preserve"> </w:t>
      </w:r>
      <w:r w:rsidRPr="00C26307">
        <w:t>per taluni atti di competenza del Ministro delle politiche</w:t>
      </w:r>
      <w:r w:rsidR="001737B9">
        <w:t xml:space="preserve"> </w:t>
      </w:r>
      <w:r w:rsidRPr="00C26307">
        <w:t>agricole alimentari e forestali, al Sottosegretario di Stato</w:t>
      </w:r>
      <w:r w:rsidR="00C26307" w:rsidRPr="00C26307">
        <w:t xml:space="preserve"> </w:t>
      </w:r>
      <w:proofErr w:type="spellStart"/>
      <w:r w:rsidRPr="00C26307">
        <w:t>on.le</w:t>
      </w:r>
      <w:proofErr w:type="spellEnd"/>
      <w:r w:rsidRPr="00C26307">
        <w:t xml:space="preserve"> Giuseppe </w:t>
      </w:r>
      <w:proofErr w:type="spellStart"/>
      <w:r w:rsidRPr="00C26307">
        <w:t>Castiglione</w:t>
      </w:r>
      <w:proofErr w:type="spellEnd"/>
      <w:r w:rsidRPr="00C26307">
        <w:t>;</w:t>
      </w:r>
    </w:p>
    <w:p w:rsidR="009A1358" w:rsidRPr="00C26307" w:rsidRDefault="009A1358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Viste</w:t>
      </w:r>
      <w:r w:rsidRPr="00C26307">
        <w:t xml:space="preserve"> le risultanze dei lavori svolti dal Comitato interno</w:t>
      </w:r>
      <w:r w:rsidR="00C26307" w:rsidRPr="00C26307">
        <w:t xml:space="preserve"> </w:t>
      </w:r>
      <w:r w:rsidRPr="00C26307">
        <w:t xml:space="preserve">di supporto </w:t>
      </w:r>
      <w:proofErr w:type="spellStart"/>
      <w:r w:rsidRPr="00C26307">
        <w:t>tecnico-giuridico-amministrativo</w:t>
      </w:r>
      <w:proofErr w:type="spellEnd"/>
      <w:r w:rsidRPr="00C26307">
        <w:t xml:space="preserve"> istituito con</w:t>
      </w:r>
      <w:r w:rsidR="001737B9">
        <w:t xml:space="preserve"> </w:t>
      </w:r>
      <w:r w:rsidRPr="00C26307">
        <w:t>decreto direttoriale n. 1883 del 23 gennaio 2017;</w:t>
      </w:r>
    </w:p>
    <w:p w:rsidR="00E54D79" w:rsidRPr="00C26307" w:rsidRDefault="009A1358" w:rsidP="001737B9">
      <w:pPr>
        <w:autoSpaceDE w:val="0"/>
        <w:autoSpaceDN w:val="0"/>
        <w:adjustRightInd w:val="0"/>
        <w:jc w:val="both"/>
      </w:pPr>
      <w:r w:rsidRPr="00C26307">
        <w:t>Considerato che, ai sensi e per gli effetti dell’art. 1,</w:t>
      </w:r>
      <w:r w:rsidR="00C26307" w:rsidRPr="00C26307">
        <w:t xml:space="preserve"> </w:t>
      </w:r>
      <w:r w:rsidRPr="00C26307">
        <w:t xml:space="preserve">paragrafo 1, lettera </w:t>
      </w:r>
      <w:r w:rsidRPr="00C26307">
        <w:rPr>
          <w:i/>
          <w:iCs/>
        </w:rPr>
        <w:t xml:space="preserve">a) </w:t>
      </w:r>
      <w:r w:rsidRPr="00C26307">
        <w:t>, del citato regolamento (UE)</w:t>
      </w:r>
      <w:r w:rsidR="00C26307" w:rsidRPr="00C26307">
        <w:t xml:space="preserve"> </w:t>
      </w:r>
      <w:r w:rsidRPr="00C26307">
        <w:t>n. 1380/2013, la politica comune della pesca riguarda, tra</w:t>
      </w:r>
      <w:r w:rsidR="00C26307" w:rsidRPr="00C26307">
        <w:t xml:space="preserve"> </w:t>
      </w:r>
      <w:r w:rsidRPr="00C26307">
        <w:t>l’altro, la gestione delle attività di pesca e delle flotte che</w:t>
      </w:r>
      <w:r w:rsidR="001737B9">
        <w:t xml:space="preserve"> </w:t>
      </w:r>
      <w:r w:rsidRPr="00C26307">
        <w:t>sfruttano le risorse biologiche marine;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Considerato</w:t>
      </w:r>
      <w:r w:rsidRPr="00C26307">
        <w:t xml:space="preserve"> che, ai sensi e per gli effetti dell’art. 24, comma 2, del citato decreto legislativo n. 4/2012, l’amministrazione, può con proprio decreto, disporre limitazioni alle attività di pesca, al fine di conservare e gestire le risorse ittiche;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1737B9">
        <w:rPr>
          <w:b/>
        </w:rPr>
        <w:t>Considerato</w:t>
      </w:r>
      <w:r w:rsidRPr="00C26307">
        <w:t xml:space="preserve"> che, ai sensi e per gli effetti degli articoli 33 e seguenti del richiamato regolamento (CE) n. 1224/2009, in capo agli Stati membri, ricadono gli obblighi e le responsabilità connesse all’esatta registrazione</w:t>
      </w:r>
      <w:r w:rsidR="001737B9">
        <w:t xml:space="preserve"> </w:t>
      </w:r>
      <w:r w:rsidRPr="00C26307">
        <w:t>delle catture, con particolare riguardo agli stock ittici soggetti a piani pluriennali di gestione e/o conservazione;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Ritenuto, pertanto, di dover procedere, ad un riassetto delle richiamate norme nazionali, finalizzato all’adozione</w:t>
      </w:r>
      <w:r w:rsidR="001737B9">
        <w:t xml:space="preserve"> </w:t>
      </w:r>
      <w:r w:rsidRPr="00C26307">
        <w:t>di specifiche disposizioni che assicurino la corretta implementazione, a livello nazionale, delle citate previsioni</w:t>
      </w:r>
      <w:r w:rsidR="001737B9">
        <w:t xml:space="preserve"> </w:t>
      </w:r>
      <w:r w:rsidRPr="00C26307">
        <w:t>internazionali;</w:t>
      </w:r>
    </w:p>
    <w:p w:rsidR="00C26307" w:rsidRPr="00C26307" w:rsidRDefault="00C26307" w:rsidP="00C26307">
      <w:pPr>
        <w:autoSpaceDE w:val="0"/>
        <w:autoSpaceDN w:val="0"/>
        <w:adjustRightInd w:val="0"/>
      </w:pPr>
      <w:r w:rsidRPr="001737B9">
        <w:rPr>
          <w:b/>
        </w:rPr>
        <w:t>Ritenuto</w:t>
      </w:r>
      <w:r w:rsidRPr="00C26307">
        <w:t xml:space="preserve">, altresì, necessario procedere </w:t>
      </w:r>
      <w:r w:rsidR="001737B9">
        <w:t xml:space="preserve"> </w:t>
      </w:r>
      <w:r w:rsidRPr="00C26307">
        <w:t xml:space="preserve">all’implementazione di misure </w:t>
      </w:r>
      <w:r w:rsidR="001737B9">
        <w:t xml:space="preserve"> </w:t>
      </w:r>
      <w:r w:rsidRPr="00C26307">
        <w:t xml:space="preserve">tecniche che, nell’assicurare la </w:t>
      </w:r>
      <w:r w:rsidR="001737B9">
        <w:t xml:space="preserve"> </w:t>
      </w:r>
      <w:r w:rsidRPr="00C26307">
        <w:t>puntuale</w:t>
      </w:r>
      <w:r w:rsidR="001737B9">
        <w:t xml:space="preserve"> </w:t>
      </w:r>
      <w:r w:rsidRPr="00C26307">
        <w:t xml:space="preserve">registrazione </w:t>
      </w:r>
      <w:r w:rsidR="001737B9">
        <w:t xml:space="preserve"> </w:t>
      </w:r>
      <w:r w:rsidRPr="00C26307">
        <w:t>dei dati</w:t>
      </w:r>
      <w:r w:rsidR="001737B9">
        <w:t xml:space="preserve"> </w:t>
      </w:r>
      <w:r w:rsidRPr="00C26307">
        <w:t xml:space="preserve"> relativi alle catture di pesce spada nel Mediterraneo, consentano, anche e</w:t>
      </w:r>
      <w:r w:rsidR="001737B9">
        <w:t xml:space="preserve"> </w:t>
      </w:r>
      <w:r w:rsidRPr="00C26307">
        <w:t xml:space="preserve"> soprattutto,</w:t>
      </w:r>
      <w:r w:rsidR="001737B9">
        <w:t xml:space="preserve"> </w:t>
      </w:r>
      <w:r w:rsidRPr="00C26307">
        <w:t xml:space="preserve"> i</w:t>
      </w:r>
      <w:r w:rsidR="001737B9">
        <w:t xml:space="preserve"> </w:t>
      </w:r>
      <w:r w:rsidRPr="00C26307">
        <w:t xml:space="preserve">l contestuale </w:t>
      </w:r>
      <w:r w:rsidR="001737B9">
        <w:t xml:space="preserve"> </w:t>
      </w:r>
      <w:r w:rsidRPr="00C26307">
        <w:t xml:space="preserve">e </w:t>
      </w:r>
      <w:r w:rsidR="001737B9">
        <w:t xml:space="preserve"> </w:t>
      </w:r>
      <w:r w:rsidRPr="00C26307">
        <w:t xml:space="preserve">constante </w:t>
      </w:r>
      <w:r w:rsidR="001737B9">
        <w:t xml:space="preserve"> </w:t>
      </w:r>
      <w:r w:rsidRPr="00C26307">
        <w:t>monitoraggio del progressivo raggiungimento  dei quantitativi massimi catturabili;</w:t>
      </w:r>
    </w:p>
    <w:p w:rsidR="001737B9" w:rsidRDefault="00C26307" w:rsidP="00C26307">
      <w:pPr>
        <w:autoSpaceDE w:val="0"/>
        <w:autoSpaceDN w:val="0"/>
        <w:adjustRightInd w:val="0"/>
      </w:pPr>
      <w:r w:rsidRPr="001737B9">
        <w:rPr>
          <w:b/>
        </w:rPr>
        <w:t>Sentite le rappresentanze di settore</w:t>
      </w:r>
      <w:r w:rsidRPr="00C26307">
        <w:t>;</w:t>
      </w:r>
    </w:p>
    <w:p w:rsidR="001737B9" w:rsidRDefault="001737B9" w:rsidP="00C26307">
      <w:pPr>
        <w:autoSpaceDE w:val="0"/>
        <w:autoSpaceDN w:val="0"/>
        <w:adjustRightInd w:val="0"/>
      </w:pPr>
    </w:p>
    <w:p w:rsidR="00C26307" w:rsidRPr="001737B9" w:rsidRDefault="00C26307" w:rsidP="00C26307">
      <w:pPr>
        <w:autoSpaceDE w:val="0"/>
        <w:autoSpaceDN w:val="0"/>
        <w:adjustRightInd w:val="0"/>
        <w:rPr>
          <w:b/>
        </w:rPr>
      </w:pPr>
      <w:r w:rsidRPr="001737B9">
        <w:rPr>
          <w:b/>
        </w:rPr>
        <w:t>Decreta:</w:t>
      </w:r>
    </w:p>
    <w:p w:rsidR="001737B9" w:rsidRDefault="001737B9" w:rsidP="00C26307">
      <w:pPr>
        <w:autoSpaceDE w:val="0"/>
        <w:autoSpaceDN w:val="0"/>
        <w:adjustRightInd w:val="0"/>
      </w:pPr>
    </w:p>
    <w:p w:rsidR="00C26307" w:rsidRPr="00C26307" w:rsidRDefault="00C26307" w:rsidP="00C26307">
      <w:pPr>
        <w:autoSpaceDE w:val="0"/>
        <w:autoSpaceDN w:val="0"/>
        <w:adjustRightInd w:val="0"/>
      </w:pPr>
      <w:r w:rsidRPr="00C26307">
        <w:t>Art. 1.</w:t>
      </w:r>
    </w:p>
    <w:p w:rsidR="00C26307" w:rsidRPr="00C26307" w:rsidRDefault="00C26307" w:rsidP="00C26307">
      <w:pPr>
        <w:autoSpaceDE w:val="0"/>
        <w:autoSpaceDN w:val="0"/>
        <w:adjustRightInd w:val="0"/>
        <w:rPr>
          <w:i/>
          <w:iCs/>
        </w:rPr>
      </w:pPr>
      <w:r w:rsidRPr="00C26307">
        <w:rPr>
          <w:i/>
          <w:iCs/>
        </w:rPr>
        <w:t>Elenco delle unità autorizzate alla pesca professionale</w:t>
      </w:r>
      <w:r w:rsidR="001737B9">
        <w:rPr>
          <w:i/>
          <w:iCs/>
        </w:rPr>
        <w:t xml:space="preserve"> </w:t>
      </w:r>
      <w:r w:rsidRPr="00C26307">
        <w:rPr>
          <w:i/>
          <w:iCs/>
        </w:rPr>
        <w:t>del pesce spada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1. Le imbarcazioni tradizionalmente denominate «feluche » già inserite nell’elenco di cui al decreto direttoriale</w:t>
      </w:r>
      <w:r w:rsidR="001737B9">
        <w:t xml:space="preserve"> </w:t>
      </w:r>
      <w:r w:rsidRPr="00C26307">
        <w:t>n. 3992 del 29 febbraio 2016, in premessa citato, (come successivamente e costantemente aggiornato, ai sensi e</w:t>
      </w:r>
      <w:r w:rsidR="001737B9">
        <w:t xml:space="preserve"> </w:t>
      </w:r>
      <w:r w:rsidRPr="00C26307">
        <w:t>per gli effetti dell’art. 3, comma 2, del decreto) mantengono detta iscrizione a titolo definitivo.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Art. 2.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  <w:rPr>
          <w:i/>
          <w:iCs/>
        </w:rPr>
      </w:pPr>
      <w:r w:rsidRPr="00C26307">
        <w:rPr>
          <w:i/>
          <w:iCs/>
        </w:rPr>
        <w:t>Disposizioni e misure tecniche per le catture bersaglio di pesce spada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 xml:space="preserve">1. I comandanti delle imbarcazioni da pesca autorizzate alla cattura bersaglio del pesce spada e soggette ai vigenti obblighi </w:t>
      </w:r>
      <w:proofErr w:type="spellStart"/>
      <w:r w:rsidRPr="00C26307">
        <w:t>unionali</w:t>
      </w:r>
      <w:proofErr w:type="spellEnd"/>
      <w:r w:rsidRPr="00C26307">
        <w:t xml:space="preserve"> in materia di registrazione e comunicazione delle catture e delle conseguenti dichiarazioni</w:t>
      </w:r>
      <w:r w:rsidR="001737B9">
        <w:t xml:space="preserve"> </w:t>
      </w:r>
      <w:r w:rsidRPr="00C26307">
        <w:t xml:space="preserve">di sbarco/trasbordo ( </w:t>
      </w:r>
      <w:r w:rsidRPr="00C26307">
        <w:rPr>
          <w:i/>
          <w:iCs/>
        </w:rPr>
        <w:t xml:space="preserve">log-book </w:t>
      </w:r>
      <w:r w:rsidRPr="00C26307">
        <w:t>cartaceo e/o elettronico), sono tenuti a registrare e comunicare anche i quantitativi</w:t>
      </w:r>
      <w:r w:rsidR="001737B9">
        <w:t xml:space="preserve"> </w:t>
      </w:r>
      <w:r w:rsidRPr="00C26307">
        <w:t>catturati di pesce spada inferiori ai 50 kg.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2. I comandanti di tutte le imbarcazioni da pesca autorizzate alla cattura bersaglio del pesce spada, incluse quelle</w:t>
      </w:r>
      <w:r w:rsidR="001737B9">
        <w:t xml:space="preserve"> </w:t>
      </w:r>
      <w:r w:rsidRPr="00C26307">
        <w:t xml:space="preserve">che, in virtù delle vigenti normative nazionali ed </w:t>
      </w:r>
      <w:proofErr w:type="spellStart"/>
      <w:r w:rsidRPr="00C26307">
        <w:t>unionali</w:t>
      </w:r>
      <w:proofErr w:type="spellEnd"/>
      <w:r w:rsidRPr="00C26307">
        <w:t>, sono esentate dagli obblighi in materia di controllo satellitare dei pescherecci, nonché di registrazione e comunicazione delle catture, ovvero delle conseguenti dichiarazioni di sbarco/trasbordo, compilano il modello in allegato 1, per qualsiasi quantitativo di pesce spada. I suddetti modelli dovranno essere consegnati alle competenti autorità marittime, nonché trasmessi, per il tramite di quest’ultime, alla Direzione generale della pesca marittima e dell’acquacoltura di questo Ministero (di seguito, Direzione generale), con cadenza settimanale, per le imbarcazioni di lunghezza fuori tutto (</w:t>
      </w:r>
      <w:proofErr w:type="spellStart"/>
      <w:r w:rsidRPr="00C26307">
        <w:t>l.f.t.</w:t>
      </w:r>
      <w:proofErr w:type="spellEnd"/>
      <w:r w:rsidRPr="00C26307">
        <w:t>) maggiore ai 15 metri, ovvero con cadenza mensile, per tutte le altre imbarcazioni.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lastRenderedPageBreak/>
        <w:t>3. Fermo restando quanto stabilito al secondo capoverso del precedente comma 2, a decorrere dal 1° gennaio</w:t>
      </w:r>
      <w:r w:rsidR="001737B9">
        <w:t xml:space="preserve"> </w:t>
      </w:r>
      <w:r w:rsidRPr="00C26307">
        <w:t>2019, i comandanti di tutte le imbarcazioni da pesca autorizzate alla cattura bersaglio del pesce spada, a prescindere dalle rispettive dimensioni di lunghezza fuori tutto (</w:t>
      </w:r>
      <w:proofErr w:type="spellStart"/>
      <w:r w:rsidRPr="00C26307">
        <w:t>l.f.t.</w:t>
      </w:r>
      <w:proofErr w:type="spellEnd"/>
      <w:r w:rsidRPr="00C26307">
        <w:t xml:space="preserve">), sono obbligati ad adeguarsi, secondo le modalità di cui alla Circolare esplicativa del decreto ministeriale 13 aprile 2015 (in premessa citato), alle vigenti disposizioni </w:t>
      </w:r>
      <w:proofErr w:type="spellStart"/>
      <w:r w:rsidRPr="00C26307">
        <w:t>unionali</w:t>
      </w:r>
      <w:proofErr w:type="spellEnd"/>
      <w:r w:rsidRPr="00C26307">
        <w:t xml:space="preserve"> in materia di registrazione e trasmissione elettronica delle catture e delle conseguenti dichiarazioni di sbarco/trasbordo. Nelle more del suddetto termine perentorio, il richiamato processo di adeguamento potrà avvenire anche su base volontaria, dandone tempestiva comunicazione alla Direzione generale.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4. La Direzione generale dispone, nei confronti dell’unità interessata, la cancellazione immediata e definitiva</w:t>
      </w:r>
      <w:r w:rsidR="001737B9">
        <w:t xml:space="preserve"> </w:t>
      </w:r>
      <w:r w:rsidRPr="00C26307">
        <w:t>dall’elenco in questione, nei seguenti casi: mancato adeguamento entro il termine perentorio di cui al precedente comma 3;</w:t>
      </w:r>
      <w:r w:rsidR="001737B9">
        <w:t xml:space="preserve"> </w:t>
      </w:r>
      <w:r w:rsidRPr="00C26307">
        <w:t>accertata assenza di catture, per un periodo pari a due annualità consecutive; commissione di infrazioni gravi correlate all’impiego di reti derivanti.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5. Prima del rientro in porto, i comandanti di tutte le imbarcazioni da pesca autorizzate alla cattura bersaglio</w:t>
      </w:r>
      <w:r w:rsidR="001737B9">
        <w:t xml:space="preserve"> </w:t>
      </w:r>
      <w:r w:rsidRPr="00C26307">
        <w:t>del pesce spada, debbono comunicare, con qualsiasi mezzo, alla competente autorità marittima le informazioni</w:t>
      </w:r>
      <w:r w:rsidR="001737B9">
        <w:t xml:space="preserve"> </w:t>
      </w:r>
      <w:r w:rsidRPr="00C26307">
        <w:t>minime (di cui allo schema in allegato 2), inerenti le operazioni di sbarco/trasbordo degli esemplari catturati.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6. Le richiamate operazioni di sbarco/trasbordo sono unicamente consentite nell’ambito dei porti designati di</w:t>
      </w:r>
      <w:r w:rsidR="001737B9">
        <w:t xml:space="preserve"> </w:t>
      </w:r>
      <w:r w:rsidRPr="00C26307">
        <w:t>cui all’elenco già disponibile sul sito web dell’ICCAT.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7. Non è consentito lo sbarco, il trasbordo ed il primo trasporto di esemplari non interi di pesce spada.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8. L’utilizzo del sistema «palangaro» - con riguardo alle licenze di pesca o attestazioni provvisorie rilasciate</w:t>
      </w:r>
      <w:r w:rsidR="001737B9">
        <w:t xml:space="preserve"> </w:t>
      </w:r>
      <w:r w:rsidRPr="00C26307">
        <w:t>prima del 26 gennaio 2012 e sotto vigenza dell’art. 11 del decreto ministeriale 26 luglio 1995 - ovvero dell’attrezzo «palangaro derivante (LLD)», per la pesca del pesce spada, è soggetto alle seguenti limitazioni d’esercizio: numero massimo di ami utilizzabili 2.500 (una seconda serie di ami armati è consentita a bordo, per uscite superiori a 2 giorni, a condizione che essi siano debitamente legati e stivati sottocoperta in modo da non risultare agevolmente utilizzabili); altezza minima dell’amo 7 cm;lunghezza massima dell’attrezzo 55 km.</w:t>
      </w:r>
    </w:p>
    <w:p w:rsidR="00C26307" w:rsidRPr="00C26307" w:rsidRDefault="00C26307" w:rsidP="001737B9">
      <w:pPr>
        <w:jc w:val="both"/>
      </w:pPr>
    </w:p>
    <w:p w:rsidR="00C26307" w:rsidRPr="00C26307" w:rsidRDefault="00C26307" w:rsidP="001737B9">
      <w:pPr>
        <w:autoSpaceDE w:val="0"/>
        <w:autoSpaceDN w:val="0"/>
        <w:adjustRightInd w:val="0"/>
        <w:jc w:val="both"/>
        <w:rPr>
          <w:i/>
          <w:iCs/>
        </w:rPr>
      </w:pPr>
      <w:r w:rsidRPr="00C26307">
        <w:rPr>
          <w:i/>
          <w:iCs/>
        </w:rPr>
        <w:t xml:space="preserve">Disposizioni e misure tecniche per le catture accessorie ( </w:t>
      </w:r>
      <w:proofErr w:type="spellStart"/>
      <w:r w:rsidRPr="00C26307">
        <w:t>by-catch</w:t>
      </w:r>
      <w:proofErr w:type="spellEnd"/>
      <w:r w:rsidRPr="00C26307">
        <w:t xml:space="preserve"> </w:t>
      </w:r>
      <w:r w:rsidRPr="00C26307">
        <w:rPr>
          <w:i/>
          <w:iCs/>
        </w:rPr>
        <w:t>) di pesce spada</w:t>
      </w:r>
    </w:p>
    <w:p w:rsidR="00C26307" w:rsidRPr="00C26307" w:rsidRDefault="00C26307" w:rsidP="001737B9">
      <w:pPr>
        <w:autoSpaceDE w:val="0"/>
        <w:autoSpaceDN w:val="0"/>
        <w:adjustRightInd w:val="0"/>
        <w:jc w:val="both"/>
      </w:pPr>
      <w:r w:rsidRPr="00C26307">
        <w:t>1. I pescherecci che non sono autorizzati alla cattura bersaglio del pesce spada non possono catturare, detenere a</w:t>
      </w:r>
      <w:r w:rsidR="001737B9">
        <w:t xml:space="preserve"> </w:t>
      </w:r>
      <w:r w:rsidRPr="00C26307">
        <w:t>bordo, trasportare, trasbordare ovvero sbarcare quantitativi di pesce spada superiori al 5% delle catture totali presenti</w:t>
      </w:r>
      <w:r w:rsidR="001737B9">
        <w:t xml:space="preserve"> </w:t>
      </w:r>
      <w:r w:rsidRPr="00C26307">
        <w:t>a bordo in peso e/o numero di esemplari, fatto salvo quanto previsto dall’art. 2, comma 2, del decreto ministeriale</w:t>
      </w:r>
      <w:r w:rsidR="001737B9">
        <w:t xml:space="preserve"> </w:t>
      </w:r>
      <w:r w:rsidRPr="00C26307">
        <w:t>28 luglio 2016, in premessa citato.</w:t>
      </w:r>
    </w:p>
    <w:p w:rsidR="00C26307" w:rsidRPr="00C26307" w:rsidRDefault="00C26307" w:rsidP="00C26307">
      <w:pPr>
        <w:autoSpaceDE w:val="0"/>
        <w:autoSpaceDN w:val="0"/>
        <w:adjustRightInd w:val="0"/>
      </w:pPr>
      <w:r w:rsidRPr="00C26307">
        <w:t xml:space="preserve">2. Ferma restando la percentuale di cui a precedente comma 1, il limite annuale delle catture accessorie ( </w:t>
      </w:r>
      <w:proofErr w:type="spellStart"/>
      <w:r w:rsidRPr="00C26307">
        <w:rPr>
          <w:i/>
          <w:iCs/>
        </w:rPr>
        <w:t>by-catch</w:t>
      </w:r>
      <w:proofErr w:type="spellEnd"/>
      <w:r w:rsidRPr="00C26307">
        <w:rPr>
          <w:i/>
          <w:iCs/>
        </w:rPr>
        <w:t xml:space="preserve"> </w:t>
      </w:r>
      <w:r w:rsidR="001737B9">
        <w:t xml:space="preserve">) </w:t>
      </w:r>
      <w:r w:rsidRPr="00C26307">
        <w:t>di pesce spada è fissato in 250 chilogrammi.</w:t>
      </w:r>
    </w:p>
    <w:p w:rsidR="00C26307" w:rsidRPr="00C26307" w:rsidRDefault="00C26307" w:rsidP="00C26307">
      <w:pPr>
        <w:autoSpaceDE w:val="0"/>
        <w:autoSpaceDN w:val="0"/>
        <w:adjustRightInd w:val="0"/>
      </w:pPr>
      <w:r w:rsidRPr="00C26307">
        <w:t xml:space="preserve">3. Alle catture accessorie ( </w:t>
      </w:r>
      <w:proofErr w:type="spellStart"/>
      <w:r w:rsidRPr="00C26307">
        <w:rPr>
          <w:i/>
          <w:iCs/>
        </w:rPr>
        <w:t>by-catch</w:t>
      </w:r>
      <w:proofErr w:type="spellEnd"/>
      <w:r w:rsidRPr="00C26307">
        <w:rPr>
          <w:i/>
          <w:iCs/>
        </w:rPr>
        <w:t xml:space="preserve"> </w:t>
      </w:r>
      <w:r w:rsidRPr="00C26307">
        <w:t xml:space="preserve">) di pesce spada si applicano, </w:t>
      </w:r>
      <w:proofErr w:type="spellStart"/>
      <w:r w:rsidRPr="00C26307">
        <w:rPr>
          <w:i/>
          <w:iCs/>
        </w:rPr>
        <w:t>mutatis</w:t>
      </w:r>
      <w:proofErr w:type="spellEnd"/>
      <w:r w:rsidRPr="00C26307">
        <w:rPr>
          <w:i/>
          <w:iCs/>
        </w:rPr>
        <w:t xml:space="preserve"> </w:t>
      </w:r>
      <w:proofErr w:type="spellStart"/>
      <w:r w:rsidRPr="00C26307">
        <w:rPr>
          <w:i/>
          <w:iCs/>
        </w:rPr>
        <w:t>mutandis</w:t>
      </w:r>
      <w:proofErr w:type="spellEnd"/>
      <w:r w:rsidRPr="00C26307">
        <w:rPr>
          <w:i/>
          <w:iCs/>
        </w:rPr>
        <w:t xml:space="preserve"> </w:t>
      </w:r>
      <w:r w:rsidRPr="00C26307">
        <w:t>, le di</w:t>
      </w:r>
      <w:r w:rsidR="001737B9">
        <w:t xml:space="preserve">sposizioni di cui al precedente </w:t>
      </w:r>
      <w:r w:rsidRPr="00C26307">
        <w:t>art. 2, commi 1, 5, 6 e7.</w:t>
      </w:r>
    </w:p>
    <w:p w:rsidR="00C26307" w:rsidRPr="00C26307" w:rsidRDefault="00C26307" w:rsidP="00C26307">
      <w:pPr>
        <w:autoSpaceDE w:val="0"/>
        <w:autoSpaceDN w:val="0"/>
        <w:adjustRightInd w:val="0"/>
      </w:pPr>
      <w:r w:rsidRPr="00C26307">
        <w:t>4. I comandanti delle imbarcazioni da pesca di cui al presente articolo presentano, unicamente in sede di sbarco</w:t>
      </w:r>
      <w:r w:rsidR="001737B9">
        <w:t xml:space="preserve"> </w:t>
      </w:r>
      <w:r w:rsidRPr="00C26307">
        <w:t>presso i richiamati porti designati, la dichiarazione di cattura conformemente al mod</w:t>
      </w:r>
      <w:r w:rsidR="001737B9">
        <w:t xml:space="preserve">ello in allegato 1 e secondo le </w:t>
      </w:r>
      <w:r w:rsidRPr="00C26307">
        <w:t>modalità di cui al precedente art. 2, comma 2.</w:t>
      </w:r>
    </w:p>
    <w:p w:rsidR="00C26307" w:rsidRPr="00C26307" w:rsidRDefault="00C26307" w:rsidP="00C26307">
      <w:pPr>
        <w:autoSpaceDE w:val="0"/>
        <w:autoSpaceDN w:val="0"/>
        <w:adjustRightInd w:val="0"/>
      </w:pPr>
      <w:r w:rsidRPr="00C26307">
        <w:t>Art. 4.</w:t>
      </w:r>
    </w:p>
    <w:p w:rsidR="00C26307" w:rsidRPr="00C26307" w:rsidRDefault="00C26307" w:rsidP="00C26307">
      <w:pPr>
        <w:autoSpaceDE w:val="0"/>
        <w:autoSpaceDN w:val="0"/>
        <w:adjustRightInd w:val="0"/>
        <w:rPr>
          <w:i/>
          <w:iCs/>
        </w:rPr>
      </w:pPr>
      <w:r w:rsidRPr="00C26307">
        <w:rPr>
          <w:i/>
          <w:iCs/>
        </w:rPr>
        <w:t>Disposizioni e misure tecniche per la pesca sportiva sportiva/ricreativa di pesce spada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1. Ferme restando le norme in materia di rilascio delle prescritte autorizzazioni di cui all</w:t>
      </w:r>
      <w:r w:rsidR="001737B9">
        <w:t xml:space="preserve">e vigenti circolari in premessa </w:t>
      </w:r>
      <w:r w:rsidRPr="00C26307">
        <w:t>citate, nonché quanto stabilito al precedente art. 2, commi 5, 6 e7, alla pesca spor</w:t>
      </w:r>
      <w:r w:rsidR="001737B9">
        <w:t xml:space="preserve">tiva/ricreativa del pesce spada </w:t>
      </w:r>
      <w:r w:rsidRPr="00C26307">
        <w:t>si applicano le seguenti ulteriori disposizioni: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è vietato catturare, detenere a bordo, trasbordare e sbarcare più di un singolo esemplare al mese;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è consentito, unicamente, l’utilizzo dei seguenti attrezzi: «lenze» e «canne»;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gli operatori interessati presentano, unicamente in sede di sbarco presso i richiamati porti designati, la d</w:t>
      </w:r>
      <w:r w:rsidR="002A3CC2">
        <w:t xml:space="preserve">ichiarazione </w:t>
      </w:r>
      <w:r w:rsidRPr="00C26307">
        <w:t>di cattura conformemente al modello in allegato 1 e secondo le modalità di cui al precedente art. 2, comma 2;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è vietata qualsiasi forma di commercializzazione degli esemplari catturati;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lastRenderedPageBreak/>
        <w:t>è obbligatorio il rigetto in mare degli esemplari che, in fase di recupero dell’</w:t>
      </w:r>
      <w:r w:rsidR="002A3CC2">
        <w:t xml:space="preserve">attrezzo, dovessero risultare </w:t>
      </w:r>
      <w:r w:rsidRPr="00C26307">
        <w:t>ancora vivi.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Art. 5.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  <w:rPr>
          <w:i/>
          <w:iCs/>
        </w:rPr>
      </w:pPr>
      <w:r w:rsidRPr="00C26307">
        <w:rPr>
          <w:i/>
          <w:iCs/>
        </w:rPr>
        <w:t>Disposizioni finali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1. Il presente decreto abroga e sostituisce, ove in contrasto, le previgenti e corrisp</w:t>
      </w:r>
      <w:r w:rsidR="002A3CC2">
        <w:t xml:space="preserve">ondenti disposizioni nazionali, </w:t>
      </w:r>
      <w:r w:rsidRPr="00C26307">
        <w:t>in premessa citate.</w:t>
      </w:r>
    </w:p>
    <w:p w:rsidR="002A3CC2" w:rsidRDefault="00C26307" w:rsidP="002A3CC2">
      <w:pPr>
        <w:autoSpaceDE w:val="0"/>
        <w:autoSpaceDN w:val="0"/>
        <w:adjustRightInd w:val="0"/>
        <w:jc w:val="both"/>
      </w:pPr>
      <w:r w:rsidRPr="00C26307">
        <w:t xml:space="preserve">2. In ottemperanza ai pertinenti paragrafi della raccomandazione ed in ossequio alle vigenti norme </w:t>
      </w:r>
      <w:proofErr w:type="spellStart"/>
      <w:r w:rsidRPr="00C26307">
        <w:t>unionali</w:t>
      </w:r>
      <w:proofErr w:type="spellEnd"/>
      <w:r w:rsidRPr="00C26307">
        <w:t>, la</w:t>
      </w:r>
      <w:r w:rsidR="002A3CC2">
        <w:t xml:space="preserve"> Direzione generale provvede a:</w:t>
      </w:r>
    </w:p>
    <w:p w:rsidR="002A3CC2" w:rsidRDefault="002A3CC2" w:rsidP="002A3CC2">
      <w:pPr>
        <w:autoSpaceDE w:val="0"/>
        <w:autoSpaceDN w:val="0"/>
        <w:adjustRightInd w:val="0"/>
        <w:jc w:val="both"/>
      </w:pPr>
      <w:r>
        <w:t xml:space="preserve"> </w:t>
      </w:r>
      <w:r w:rsidR="00C26307" w:rsidRPr="00C26307">
        <w:t>redigere e/o aggiornare, con decorrenza dall’annualità 2018, il Piano annuale d</w:t>
      </w:r>
      <w:r>
        <w:t xml:space="preserve">i pesca, curandone, altresì, la </w:t>
      </w:r>
      <w:r w:rsidR="00C26307" w:rsidRPr="00C26307">
        <w:t>trasmissione ai competenti ser</w:t>
      </w:r>
      <w:r>
        <w:t xml:space="preserve">vizi della Commissione europea; 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modificare e/o integrare, di concerto con le competenti autorità marittime, l’elen</w:t>
      </w:r>
      <w:r w:rsidR="002A3CC2">
        <w:t xml:space="preserve">co di cui al precedente art. 3, </w:t>
      </w:r>
      <w:r w:rsidRPr="00C26307">
        <w:t>comma 4, in caso di accertate esigenze di sicurezza marittima e/o portuale, ovvero di vig</w:t>
      </w:r>
      <w:r w:rsidR="002A3CC2">
        <w:t xml:space="preserve">ilanza e controllo sul corretto </w:t>
      </w:r>
      <w:r w:rsidRPr="00C26307">
        <w:t>svolgimento delle attività di pesca in questione;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diramare, ove necessario, ulteriori disposizioni applicative onde assicurare l’esat</w:t>
      </w:r>
      <w:r w:rsidR="002A3CC2">
        <w:t xml:space="preserve">ta implementazione del presente </w:t>
      </w:r>
      <w:r w:rsidRPr="00C26307">
        <w:t>decreto.</w:t>
      </w:r>
    </w:p>
    <w:p w:rsidR="00C26307" w:rsidRPr="002A3CC2" w:rsidRDefault="00C26307" w:rsidP="002A3CC2">
      <w:pPr>
        <w:autoSpaceDE w:val="0"/>
        <w:autoSpaceDN w:val="0"/>
        <w:adjustRightInd w:val="0"/>
        <w:jc w:val="both"/>
        <w:rPr>
          <w:i/>
          <w:iCs/>
        </w:rPr>
      </w:pPr>
      <w:r w:rsidRPr="00C26307">
        <w:t xml:space="preserve">3. Il presente decreto è sottoposto alla registrazione dei competenti organi di controllo, è pubblicato nella </w:t>
      </w:r>
      <w:r w:rsidRPr="00C26307">
        <w:rPr>
          <w:i/>
          <w:iCs/>
        </w:rPr>
        <w:t>Gazzetta</w:t>
      </w:r>
      <w:r w:rsidR="002A3CC2">
        <w:rPr>
          <w:i/>
          <w:iCs/>
        </w:rPr>
        <w:t xml:space="preserve"> </w:t>
      </w:r>
      <w:r w:rsidRPr="00C26307">
        <w:rPr>
          <w:i/>
          <w:iCs/>
        </w:rPr>
        <w:t xml:space="preserve">Ufficiale </w:t>
      </w:r>
      <w:r w:rsidRPr="00C26307">
        <w:t>della Repubblica italiana ed entra in vigore il giorno stesso della sua pubblicazione.</w:t>
      </w:r>
    </w:p>
    <w:p w:rsidR="00C26307" w:rsidRPr="00C26307" w:rsidRDefault="00C26307" w:rsidP="002A3CC2">
      <w:pPr>
        <w:autoSpaceDE w:val="0"/>
        <w:autoSpaceDN w:val="0"/>
        <w:adjustRightInd w:val="0"/>
        <w:jc w:val="both"/>
      </w:pPr>
      <w:r w:rsidRPr="00C26307">
        <w:t>Roma, 23 febbraio 2018</w:t>
      </w:r>
    </w:p>
    <w:p w:rsidR="00C26307" w:rsidRDefault="00C26307" w:rsidP="002A3CC2">
      <w:pPr>
        <w:jc w:val="both"/>
      </w:pPr>
      <w:r w:rsidRPr="00C26307">
        <w:rPr>
          <w:i/>
          <w:iCs/>
        </w:rPr>
        <w:t xml:space="preserve">Il Sottosegretario di Stato: </w:t>
      </w:r>
      <w:r w:rsidRPr="00C26307">
        <w:t>CASTIGLIONE</w:t>
      </w:r>
    </w:p>
    <w:p w:rsidR="002A3CC2" w:rsidRDefault="002A3CC2" w:rsidP="002A3CC2">
      <w:pPr>
        <w:jc w:val="both"/>
      </w:pPr>
    </w:p>
    <w:p w:rsidR="002A3CC2" w:rsidRDefault="002A3CC2" w:rsidP="002A3CC2">
      <w:pPr>
        <w:autoSpaceDE w:val="0"/>
        <w:autoSpaceDN w:val="0"/>
        <w:adjustRightInd w:val="0"/>
        <w:rPr>
          <w:rFonts w:ascii="TimesNewRomanPSMT" w:hAnsi="TimesNewRomanPSMT" w:cs="TimesNewRomanPSMT"/>
          <w:sz w:val="17"/>
          <w:szCs w:val="17"/>
        </w:rPr>
      </w:pPr>
    </w:p>
    <w:sectPr w:rsidR="002A3CC2" w:rsidSect="00E54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A1358"/>
    <w:rsid w:val="001737B9"/>
    <w:rsid w:val="00251FE0"/>
    <w:rsid w:val="002A3CC2"/>
    <w:rsid w:val="003D7AA2"/>
    <w:rsid w:val="008F31E1"/>
    <w:rsid w:val="00982929"/>
    <w:rsid w:val="009A1358"/>
    <w:rsid w:val="00C26307"/>
    <w:rsid w:val="00E5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D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2018-04-12T10:22:00Z</dcterms:created>
  <dcterms:modified xsi:type="dcterms:W3CDTF">2018-04-12T10:22:00Z</dcterms:modified>
</cp:coreProperties>
</file>